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1DAE7" w14:textId="77777777" w:rsidR="00127299" w:rsidRPr="001A3AAD" w:rsidRDefault="00127299" w:rsidP="00127299">
      <w:pPr>
        <w:ind w:left="7796" w:firstLine="6"/>
      </w:pPr>
      <w:r w:rsidRPr="001A3AAD">
        <w:t xml:space="preserve">Утвержден </w:t>
      </w:r>
    </w:p>
    <w:p w14:paraId="40F7CAE0" w14:textId="681056C8" w:rsidR="00127299" w:rsidRPr="001A3AAD" w:rsidRDefault="00127299" w:rsidP="00127299">
      <w:pPr>
        <w:ind w:left="7796" w:firstLine="6"/>
      </w:pPr>
      <w:r w:rsidRPr="001A3AAD">
        <w:t xml:space="preserve">Решением Комиссии по </w:t>
      </w:r>
      <w:r w:rsidR="004373EF" w:rsidRPr="001A3AAD">
        <w:t>развитию бизнеса, сохраняющего историко-архитектурное наследие</w:t>
      </w:r>
    </w:p>
    <w:p w14:paraId="7D2ED00F" w14:textId="0E131D62" w:rsidR="00127299" w:rsidRPr="001A3AAD" w:rsidRDefault="00127299" w:rsidP="00127299">
      <w:pPr>
        <w:ind w:left="7796" w:firstLine="6"/>
      </w:pPr>
      <w:r w:rsidRPr="001A3AAD">
        <w:t>Протокол от _</w:t>
      </w:r>
      <w:proofErr w:type="gramStart"/>
      <w:r w:rsidRPr="001A3AAD">
        <w:t>_._</w:t>
      </w:r>
      <w:proofErr w:type="gramEnd"/>
      <w:r w:rsidRPr="001A3AAD">
        <w:t>_.______   №___</w:t>
      </w:r>
    </w:p>
    <w:p w14:paraId="68120341" w14:textId="77777777" w:rsidR="00A3122D" w:rsidRPr="001A3AAD" w:rsidRDefault="00A3122D" w:rsidP="00A3122D">
      <w:pPr>
        <w:jc w:val="center"/>
        <w:rPr>
          <w:rFonts w:eastAsia="Arial Narrow"/>
          <w:sz w:val="28"/>
          <w:szCs w:val="28"/>
        </w:rPr>
      </w:pPr>
    </w:p>
    <w:p w14:paraId="105FE0D5" w14:textId="77777777" w:rsidR="00A3122D" w:rsidRPr="001A3AAD" w:rsidRDefault="00A3122D">
      <w:pPr>
        <w:rPr>
          <w:sz w:val="28"/>
          <w:szCs w:val="28"/>
        </w:rPr>
      </w:pPr>
    </w:p>
    <w:p w14:paraId="4940F929" w14:textId="77777777" w:rsidR="00A3122D" w:rsidRPr="001A3AAD" w:rsidRDefault="00A3122D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06"/>
      </w:tblGrid>
      <w:tr w:rsidR="00127299" w:rsidRPr="001A3AAD" w14:paraId="23E4160B" w14:textId="77777777" w:rsidTr="00B37F01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1CDA" w14:textId="45AF8CD7" w:rsidR="00770062" w:rsidRPr="001A3AAD" w:rsidRDefault="00770062" w:rsidP="00A3122D">
            <w:pPr>
              <w:jc w:val="center"/>
              <w:rPr>
                <w:b/>
                <w:bCs/>
                <w:sz w:val="28"/>
                <w:szCs w:val="28"/>
              </w:rPr>
            </w:pPr>
            <w:r w:rsidRPr="001A3AAD">
              <w:rPr>
                <w:b/>
                <w:bCs/>
                <w:sz w:val="28"/>
                <w:szCs w:val="28"/>
              </w:rPr>
              <w:t xml:space="preserve">ОТЧЕТ О ДЕЯТЕЛЬНОСТИ ЗА </w:t>
            </w:r>
            <w:r w:rsidR="00E60A08" w:rsidRPr="001A3AAD">
              <w:rPr>
                <w:b/>
                <w:bCs/>
                <w:sz w:val="28"/>
                <w:szCs w:val="28"/>
              </w:rPr>
              <w:t>202</w:t>
            </w:r>
            <w:r w:rsidR="004373EF" w:rsidRPr="001A3AAD">
              <w:rPr>
                <w:b/>
                <w:bCs/>
                <w:sz w:val="28"/>
                <w:szCs w:val="28"/>
              </w:rPr>
              <w:t>5</w:t>
            </w:r>
            <w:r w:rsidRPr="001A3AAD">
              <w:rPr>
                <w:b/>
                <w:bCs/>
                <w:sz w:val="28"/>
                <w:szCs w:val="28"/>
              </w:rPr>
              <w:t xml:space="preserve"> ГОД</w:t>
            </w:r>
          </w:p>
          <w:p w14:paraId="4530DEE5" w14:textId="7EE3D2C0" w:rsidR="005935CE" w:rsidRPr="001A3AAD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190E9C" w14:textId="77777777" w:rsidR="005935CE" w:rsidRPr="001A3AAD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5"/>
              <w:tblW w:w="0" w:type="auto"/>
              <w:shd w:val="clear" w:color="auto" w:fill="A6A6A6" w:themeFill="background1" w:themeFillShade="A6"/>
              <w:tblLook w:val="04A0" w:firstRow="1" w:lastRow="0" w:firstColumn="1" w:lastColumn="0" w:noHBand="0" w:noVBand="1"/>
            </w:tblPr>
            <w:tblGrid>
              <w:gridCol w:w="7539"/>
              <w:gridCol w:w="7541"/>
            </w:tblGrid>
            <w:tr w:rsidR="005935CE" w:rsidRPr="001A3AAD" w14:paraId="55125EF1" w14:textId="77777777" w:rsidTr="00754A4F">
              <w:tc>
                <w:tcPr>
                  <w:tcW w:w="7645" w:type="dxa"/>
                  <w:shd w:val="clear" w:color="auto" w:fill="A6A6A6" w:themeFill="background1" w:themeFillShade="A6"/>
                </w:tcPr>
                <w:p w14:paraId="29A7CBEF" w14:textId="77777777" w:rsidR="00E60A08" w:rsidRPr="001A3AAD" w:rsidRDefault="00E60A08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</w:p>
                <w:p w14:paraId="3385349C" w14:textId="77777777" w:rsidR="00E60A08" w:rsidRPr="001A3AAD" w:rsidRDefault="005935CE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ФОИВ/ФОЗВ, </w:t>
                  </w:r>
                  <w:r w:rsidR="00E60A08"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госкорпорации и институты,</w:t>
                  </w:r>
                </w:p>
                <w:p w14:paraId="41BA541A" w14:textId="13546EB6" w:rsidR="005935CE" w:rsidRPr="001A3AAD" w:rsidRDefault="005935CE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находящ</w:t>
                  </w:r>
                  <w:r w:rsidR="00754A4F"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ий</w:t>
                  </w:r>
                  <w:r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ся</w:t>
                  </w:r>
                  <w:r w:rsidR="00754A4F"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(-</w:t>
                  </w:r>
                  <w:proofErr w:type="spellStart"/>
                  <w:proofErr w:type="gramStart"/>
                  <w:r w:rsidR="00754A4F"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щиеся</w:t>
                  </w:r>
                  <w:proofErr w:type="spellEnd"/>
                  <w:r w:rsidR="00754A4F"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)  </w:t>
                  </w:r>
                  <w:r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в</w:t>
                  </w:r>
                  <w:proofErr w:type="gramEnd"/>
                  <w:r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сфере</w:t>
                  </w:r>
                  <w:r w:rsidR="00754A4F"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1A3AAD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ответственности Комиссии </w:t>
                  </w:r>
                </w:p>
                <w:p w14:paraId="5C51B4D9" w14:textId="24394635" w:rsidR="00E60A08" w:rsidRPr="001A3AAD" w:rsidRDefault="00E60A08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lang w:eastAsia="en-US"/>
                    </w:rPr>
                  </w:pPr>
                </w:p>
              </w:tc>
              <w:tc>
                <w:tcPr>
                  <w:tcW w:w="7646" w:type="dxa"/>
                  <w:shd w:val="clear" w:color="auto" w:fill="A6A6A6" w:themeFill="background1" w:themeFillShade="A6"/>
                </w:tcPr>
                <w:p w14:paraId="05D32485" w14:textId="102CA3D0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Госдума</w:t>
                  </w:r>
                </w:p>
                <w:p w14:paraId="4627415A" w14:textId="77777777" w:rsidR="005935CE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Минкультуры России</w:t>
                  </w:r>
                </w:p>
                <w:p w14:paraId="03829E84" w14:textId="77777777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ПАО «ДОМ.РФ»</w:t>
                  </w:r>
                </w:p>
                <w:p w14:paraId="3CEE1AA0" w14:textId="77777777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Агентство стратегических инициатив</w:t>
                  </w:r>
                </w:p>
                <w:p w14:paraId="191D9E3A" w14:textId="77777777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Минэкономразвития России</w:t>
                  </w:r>
                </w:p>
                <w:p w14:paraId="0506DBFB" w14:textId="77777777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Минстрой России</w:t>
                  </w:r>
                </w:p>
                <w:p w14:paraId="358AB077" w14:textId="77777777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АУИПИК</w:t>
                  </w:r>
                </w:p>
                <w:p w14:paraId="4593E058" w14:textId="7A965BD1" w:rsidR="00692295" w:rsidRPr="00692295" w:rsidRDefault="00692295" w:rsidP="00692295">
                  <w:pPr>
                    <w:pStyle w:val="afa"/>
                    <w:numPr>
                      <w:ilvl w:val="0"/>
                      <w:numId w:val="26"/>
                    </w:num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Р</w:t>
                  </w:r>
                  <w:r w:rsidRPr="00692295"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егиональные органы власти и институты развития по вопросам развития экономики исторической недвижимости</w:t>
                  </w:r>
                </w:p>
              </w:tc>
            </w:tr>
          </w:tbl>
          <w:p w14:paraId="6BD85D0A" w14:textId="15803E8D" w:rsidR="005935CE" w:rsidRPr="001A3AAD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4F57B1" w14:textId="22982951" w:rsidR="005935CE" w:rsidRPr="001A3AAD" w:rsidRDefault="005935CE" w:rsidP="00593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0062" w:rsidRPr="001A3AAD" w14:paraId="63E1440D" w14:textId="77777777" w:rsidTr="00B37F01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E6EF" w14:textId="294327F0" w:rsidR="00A3122D" w:rsidRPr="001A3AAD" w:rsidRDefault="00A3122D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9ADED4" w14:textId="2C631953" w:rsidR="005935CE" w:rsidRPr="001A3AAD" w:rsidRDefault="005935CE" w:rsidP="00770062">
      <w:pPr>
        <w:jc w:val="center"/>
        <w:rPr>
          <w:sz w:val="28"/>
          <w:szCs w:val="28"/>
        </w:rPr>
      </w:pPr>
    </w:p>
    <w:p w14:paraId="70CF425E" w14:textId="77777777" w:rsidR="005935CE" w:rsidRPr="001A3AAD" w:rsidRDefault="005935CE" w:rsidP="001A3AAD">
      <w:pPr>
        <w:spacing w:line="216" w:lineRule="auto"/>
        <w:jc w:val="center"/>
        <w:rPr>
          <w:sz w:val="28"/>
          <w:szCs w:val="28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3493"/>
        <w:gridCol w:w="5035"/>
        <w:gridCol w:w="3244"/>
        <w:gridCol w:w="3504"/>
      </w:tblGrid>
      <w:tr w:rsidR="00292897" w:rsidRPr="001A3AAD" w14:paraId="75205BCD" w14:textId="77777777" w:rsidTr="0012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B14F603" w14:textId="4BF56790" w:rsidR="00770062" w:rsidRPr="001A3AAD" w:rsidRDefault="00770062" w:rsidP="001A3AAD">
            <w:pPr>
              <w:spacing w:line="216" w:lineRule="auto"/>
              <w:contextualSpacing w:val="0"/>
              <w:mirrorIndents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A3AAD">
              <w:rPr>
                <w:rFonts w:ascii="Times New Roman" w:eastAsiaTheme="minorHAnsi" w:hAnsi="Times New Roman"/>
                <w:color w:val="auto"/>
                <w:lang w:eastAsia="en-US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2EAC0D" w14:textId="77777777" w:rsidR="00770062" w:rsidRPr="001A3AAD" w:rsidRDefault="00770062" w:rsidP="001A3AAD">
            <w:pPr>
              <w:spacing w:line="216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A3AAD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F8B5C31" w14:textId="77777777" w:rsidR="00770062" w:rsidRPr="001A3AAD" w:rsidRDefault="00770062" w:rsidP="001A3AAD">
            <w:pPr>
              <w:spacing w:line="216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A3AAD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770062" w:rsidRPr="001A3AAD" w:rsidRDefault="00770062" w:rsidP="001A3AAD">
            <w:pPr>
              <w:spacing w:line="216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A3AAD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3603B89" w14:textId="62BDE427" w:rsidR="00770062" w:rsidRPr="001A3AAD" w:rsidRDefault="00770062" w:rsidP="001A3AAD">
            <w:pPr>
              <w:spacing w:line="216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A3AAD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Комиссии, по которым готовились замечания и предложения,</w:t>
            </w:r>
          </w:p>
          <w:p w14:paraId="2DD8E6F0" w14:textId="77777777" w:rsidR="00770062" w:rsidRPr="001A3AAD" w:rsidRDefault="00770062" w:rsidP="001A3AAD">
            <w:pPr>
              <w:spacing w:line="216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A3AAD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1A3AAD" w:rsidRPr="001A3AAD" w14:paraId="637606C1" w14:textId="77777777" w:rsidTr="00B37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single" w:sz="6" w:space="0" w:color="000000"/>
            </w:tcBorders>
            <w:shd w:val="clear" w:color="auto" w:fill="auto"/>
          </w:tcPr>
          <w:p w14:paraId="0C062996" w14:textId="5606E3A4" w:rsidR="001A3AAD" w:rsidRPr="001A3AAD" w:rsidRDefault="001A3AAD" w:rsidP="001A3AAD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1A3AAD">
              <w:rPr>
                <w:rFonts w:ascii="Times New Roman" w:hAnsi="Times New Roman"/>
                <w:color w:val="auto"/>
              </w:rPr>
              <w:lastRenderedPageBreak/>
              <w:t>17.02.2025.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Pr="001A3AAD">
              <w:rPr>
                <w:rFonts w:ascii="Times New Roman" w:hAnsi="Times New Roman"/>
                <w:b w:val="0"/>
                <w:color w:val="auto"/>
              </w:rPr>
              <w:t>В Нижегородской области утвержден первый в России Региональный стандарт по сохранению историко-культурного наследия</w:t>
            </w:r>
            <w:r>
              <w:rPr>
                <w:rFonts w:ascii="Times New Roman" w:hAnsi="Times New Roman"/>
                <w:b w:val="0"/>
                <w:color w:val="auto"/>
              </w:rPr>
              <w:t>.</w:t>
            </w:r>
            <w:r w:rsidRPr="001A3AAD">
              <w:rPr>
                <w:rFonts w:ascii="Times New Roman" w:hAnsi="Times New Roman"/>
                <w:b w:val="0"/>
                <w:color w:val="auto"/>
              </w:rPr>
              <w:t xml:space="preserve"> Региональный стандарт сформирован в рамках участия Нижегородской области в качестве пилотного региона в Стратегической федеральной общественной инициативе «Разработка и внедрение региональных стандартов сохранения наследия», которую на федеральном уровне реализует Общероссийская общественная организация малого и среднего предпринимательства «ОПОРА РОССИИ» совместно с Ассоциацией «Клуб инвесторов в историческую недвижимость»</w:t>
            </w:r>
          </w:p>
        </w:tc>
      </w:tr>
      <w:tr w:rsidR="00C37008" w:rsidRPr="001A3AAD" w14:paraId="15EDBD22" w14:textId="77777777" w:rsidTr="00C47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auto"/>
          </w:tcPr>
          <w:p w14:paraId="245760AE" w14:textId="106CC664" w:rsidR="00A3122D" w:rsidRPr="0063438C" w:rsidRDefault="001A3AAD" w:rsidP="0063438C">
            <w:pPr>
              <w:spacing w:line="216" w:lineRule="auto"/>
              <w:jc w:val="both"/>
              <w:rPr>
                <w:rFonts w:ascii="Times New Roman" w:hAnsi="Times New Roman"/>
                <w:b w:val="0"/>
              </w:rPr>
            </w:pPr>
            <w:r w:rsidRPr="0063438C">
              <w:rPr>
                <w:rFonts w:ascii="Times New Roman" w:hAnsi="Times New Roman"/>
                <w:color w:val="auto"/>
              </w:rPr>
              <w:t>28.02.2025.</w:t>
            </w:r>
            <w:r w:rsidRPr="0063438C">
              <w:rPr>
                <w:rFonts w:ascii="Times New Roman" w:hAnsi="Times New Roman"/>
                <w:b w:val="0"/>
                <w:color w:val="auto"/>
              </w:rPr>
              <w:t xml:space="preserve"> Круглый стол</w:t>
            </w:r>
            <w:r w:rsidR="00355BCA" w:rsidRPr="0063438C">
              <w:rPr>
                <w:rFonts w:ascii="Times New Roman" w:hAnsi="Times New Roman"/>
                <w:b w:val="0"/>
                <w:color w:val="auto"/>
              </w:rPr>
              <w:t xml:space="preserve"> в Госдуме </w:t>
            </w:r>
            <w:r w:rsidRPr="0063438C">
              <w:rPr>
                <w:rFonts w:ascii="Times New Roman" w:hAnsi="Times New Roman"/>
                <w:b w:val="0"/>
                <w:color w:val="auto"/>
              </w:rPr>
              <w:t>на тему</w:t>
            </w:r>
            <w:r w:rsidR="00355BCA" w:rsidRPr="0063438C">
              <w:rPr>
                <w:rFonts w:ascii="Times New Roman" w:hAnsi="Times New Roman"/>
                <w:b w:val="0"/>
                <w:color w:val="auto"/>
              </w:rPr>
              <w:t xml:space="preserve"> «Бизнес и культурное наследие. Создание условий для включения объектов культурного наследия в экономику регио</w:t>
            </w:r>
            <w:r w:rsidRPr="0063438C">
              <w:rPr>
                <w:rFonts w:ascii="Times New Roman" w:hAnsi="Times New Roman"/>
                <w:b w:val="0"/>
                <w:color w:val="auto"/>
              </w:rPr>
              <w:t>на»</w:t>
            </w:r>
          </w:p>
        </w:tc>
        <w:tc>
          <w:tcPr>
            <w:tcW w:w="0" w:type="auto"/>
            <w:shd w:val="clear" w:color="auto" w:fill="auto"/>
          </w:tcPr>
          <w:p w14:paraId="2AD25F6A" w14:textId="77777777" w:rsidR="00A3122D" w:rsidRPr="00692295" w:rsidRDefault="005D40A4" w:rsidP="005D40A4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П</w:t>
            </w:r>
            <w:r w:rsidR="00355BCA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редложения </w:t>
            </w: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Комиссии и Ассоциации </w:t>
            </w:r>
            <w:r w:rsidR="00355BCA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по ключевым направлениям реформирования сферы сохранения наследия и вовлечению </w:t>
            </w: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ОКН </w:t>
            </w:r>
            <w:r w:rsidR="00355BCA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в экономический оборот</w:t>
            </w: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:</w:t>
            </w:r>
          </w:p>
          <w:p w14:paraId="77B43439" w14:textId="2B1461F7" w:rsidR="005D40A4" w:rsidRPr="00692295" w:rsidRDefault="005D40A4" w:rsidP="005D40A4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1. </w:t>
            </w:r>
            <w:r w:rsid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Принять </w:t>
            </w: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ФЗ «О развитии экономики исторической недвижимости в РФ»</w:t>
            </w:r>
          </w:p>
          <w:p w14:paraId="070BAA27" w14:textId="601659E9" w:rsidR="005D40A4" w:rsidRDefault="005D40A4" w:rsidP="005D40A4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2. </w:t>
            </w:r>
            <w:r w:rsid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Создать</w:t>
            </w:r>
            <w:r w:rsidR="00692295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отдельн</w:t>
            </w:r>
            <w:r w:rsid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ый</w:t>
            </w:r>
            <w:r w:rsidR="00692295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ОКВЭД для управления ОКН и статистики их вклада в ВВП</w:t>
            </w:r>
          </w:p>
          <w:p w14:paraId="790876B5" w14:textId="3DE23499" w:rsidR="00CD0C00" w:rsidRDefault="00CD0C00" w:rsidP="00CD0C00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3. </w:t>
            </w:r>
            <w:r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Разработать дополнительные меры поддержки инвесторов в историческую недвижимость и применять их в соответствии с  дифференцированным подходом в зависимости от инвестиционной привлекательности памятников</w:t>
            </w:r>
          </w:p>
          <w:p w14:paraId="2A089984" w14:textId="6E32E25A" w:rsidR="00CD0C00" w:rsidRDefault="00CD0C00" w:rsidP="00CD0C00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4. Созда</w:t>
            </w:r>
            <w:r w:rsid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ть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отдельный фонд для поддержки инвестиций в историческую недвижимость</w:t>
            </w:r>
          </w:p>
          <w:p w14:paraId="4B3B3976" w14:textId="01B7A4AF" w:rsidR="00AC657D" w:rsidRPr="00AC657D" w:rsidRDefault="00CD0C00" w:rsidP="00AC657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5</w:t>
            </w:r>
            <w:r w:rsid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. </w:t>
            </w:r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Установить единую льготную ставку на все проекты восстановления ОКН в размере 4%</w:t>
            </w:r>
          </w:p>
          <w:p w14:paraId="3A184619" w14:textId="04EDF95A" w:rsidR="00AC657D" w:rsidRPr="00AC657D" w:rsidRDefault="00CD0C00" w:rsidP="00AC657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6</w:t>
            </w:r>
            <w:r w:rsid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. </w:t>
            </w:r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Увеличить количество объектов на портале </w:t>
            </w:r>
            <w:proofErr w:type="spellStart"/>
            <w:proofErr w:type="gramStart"/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наследие.дом</w:t>
            </w:r>
            <w:proofErr w:type="gramEnd"/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.рф</w:t>
            </w:r>
            <w:proofErr w:type="spellEnd"/>
          </w:p>
          <w:p w14:paraId="50460BF1" w14:textId="2E784E3E" w:rsidR="00AC657D" w:rsidRDefault="00CD0C00" w:rsidP="00AC657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7</w:t>
            </w:r>
            <w:r w:rsid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. </w:t>
            </w:r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Отразить на портале </w:t>
            </w:r>
            <w:proofErr w:type="spellStart"/>
            <w:proofErr w:type="gramStart"/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наследие.дом</w:t>
            </w:r>
            <w:proofErr w:type="gramEnd"/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.рф</w:t>
            </w:r>
            <w:proofErr w:type="spellEnd"/>
            <w:r w:rsidR="00AC657D" w:rsidRPr="00AC657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меры региональной поддержки, возможные к применению для ОКН</w:t>
            </w:r>
          </w:p>
          <w:p w14:paraId="585E6DEC" w14:textId="3722B7C2" w:rsidR="00CD0C00" w:rsidRDefault="00CD0C00" w:rsidP="00AC657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8. Синхронизировать данные Минкультуры и Росреестра на портале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наследие.дом</w:t>
            </w:r>
            <w:proofErr w:type="gramEnd"/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.рф</w:t>
            </w:r>
            <w:proofErr w:type="spellEnd"/>
          </w:p>
          <w:p w14:paraId="39ABE8ED" w14:textId="405E331D" w:rsidR="00CD0C00" w:rsidRPr="00AC657D" w:rsidRDefault="00CD0C00" w:rsidP="00AC657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9. </w:t>
            </w:r>
            <w:r w:rsidR="008C2C73" w:rsidRPr="008C2C7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Применять механизм зачета произведённых затрат в выкупную стоимость для ОКН, выкупаемых (приватизируемых)  арендаторами — субъектами малого и среднего предпринимательства по преимущественному праву (по 159-ФЗ)</w:t>
            </w:r>
          </w:p>
          <w:p w14:paraId="3A56AD84" w14:textId="77777777" w:rsidR="008C2C73" w:rsidRPr="008C2C73" w:rsidRDefault="008C2C73" w:rsidP="008C2C73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8C2C7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10. Разработать и утвердить методику оценки влияния ОКН на экономику города и региона;</w:t>
            </w:r>
          </w:p>
          <w:p w14:paraId="3ECB1F81" w14:textId="77777777" w:rsidR="00CD0C00" w:rsidRDefault="008C2C73" w:rsidP="008C2C73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11.</w:t>
            </w:r>
            <w:r w:rsidRPr="008C2C7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Ввести в Национальный инвестиционный рейтинг дополнительные показатели оценки инвестиционного климата регионов – результаты вовлечения ОКН в хозяйственный оборот</w:t>
            </w:r>
          </w:p>
          <w:p w14:paraId="71224BE6" w14:textId="77777777" w:rsidR="008C2C73" w:rsidRDefault="008C2C73" w:rsidP="008C2C73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12. </w:t>
            </w:r>
            <w:r w:rsidR="00104C00" w:rsidRPr="00104C00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Сформировать для регионов модельное решение по формированию инвестиционной политики региона по вовлечению ОКН в экономический оборот - утвердить Стандарт по сохранению и вовлечению в экономический оборот ОКН с учетом реализации пилотного проекта в рамках Стратегической федеральной общественной инициативы «Разработка и внедрение региональных стандартов сохранения наследия»</w:t>
            </w:r>
          </w:p>
          <w:p w14:paraId="2DF2CFFC" w14:textId="77777777" w:rsidR="00763A7E" w:rsidRDefault="00763A7E" w:rsidP="008C2C73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</w:p>
          <w:p w14:paraId="4724C449" w14:textId="71DB8864" w:rsidR="00705B6C" w:rsidRPr="001A3AAD" w:rsidRDefault="008E684F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13. </w:t>
            </w:r>
            <w:r w:rsidR="00AF3708" w:rsidRPr="00705B6C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Проводить расселение в приоритетном порядке ОКН, являющихся авариными многоквартирными домами, включенными в реестр многоквартирных домов, признанных аварийными и подлежащими реконструкции в связи с физическим износом в процессе их эксплуатации, в рамках программ по переселению граждан из аварийного жилищного фонда, признанного таковым с 1 января 2017 года до 1 января 2022 года</w:t>
            </w:r>
            <w:r w:rsidR="00C47D19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153A4B0" w14:textId="77777777" w:rsidR="00A3122D" w:rsidRDefault="00AC657D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Принята и направлена в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ФОИВы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резолюция</w:t>
            </w:r>
          </w:p>
          <w:p w14:paraId="688AEC86" w14:textId="03940A16" w:rsidR="00AC657D" w:rsidRPr="001A3AAD" w:rsidRDefault="00AC657D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</w:p>
        </w:tc>
        <w:tc>
          <w:tcPr>
            <w:tcW w:w="0" w:type="auto"/>
            <w:shd w:val="clear" w:color="auto" w:fill="auto"/>
          </w:tcPr>
          <w:p w14:paraId="550FB564" w14:textId="3AE6C991" w:rsidR="00A3122D" w:rsidRDefault="00CD0C00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Учтены/реализованы</w:t>
            </w:r>
            <w:r>
              <w:rPr>
                <w:rFonts w:ascii="Times New Roman" w:hAnsi="Times New Roman"/>
              </w:rPr>
              <w:br/>
            </w:r>
            <w:r w:rsidR="00AC657D">
              <w:rPr>
                <w:rFonts w:ascii="Times New Roman" w:hAnsi="Times New Roman"/>
              </w:rPr>
              <w:t>предложения:</w:t>
            </w:r>
          </w:p>
          <w:p w14:paraId="24F4A935" w14:textId="77777777" w:rsidR="008C2C73" w:rsidRDefault="008C2C73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396968A" w14:textId="4C4FD16F" w:rsidR="00AC657D" w:rsidRDefault="00CD0C00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</w:t>
            </w:r>
            <w:r w:rsidR="00C37008">
              <w:rPr>
                <w:rFonts w:ascii="Times New Roman" w:hAnsi="Times New Roman"/>
              </w:rPr>
              <w:t xml:space="preserve">льготная </w:t>
            </w:r>
            <w:r>
              <w:rPr>
                <w:rFonts w:ascii="Times New Roman" w:hAnsi="Times New Roman"/>
              </w:rPr>
              <w:t>ставка 9%)</w:t>
            </w:r>
          </w:p>
          <w:p w14:paraId="5003939B" w14:textId="1F6881D6" w:rsidR="00AC657D" w:rsidRDefault="00CD0C00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76332A32" w14:textId="2FE9841E" w:rsidR="00AC657D" w:rsidRDefault="00CD0C00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2E85F85F" w14:textId="77777777" w:rsidR="00AC657D" w:rsidRDefault="00CD0C00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2235CA9D" w14:textId="77777777" w:rsidR="00CD0C00" w:rsidRDefault="008C2C73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2C358F0E" w14:textId="77777777" w:rsidR="008C2C73" w:rsidRDefault="00104C00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14:paraId="24971F3F" w14:textId="77777777" w:rsidR="00104C00" w:rsidRDefault="00292897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14:paraId="2A725C2A" w14:textId="77777777" w:rsidR="00292897" w:rsidRDefault="00292897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14:paraId="34A0BFE0" w14:textId="77777777" w:rsidR="00292897" w:rsidRPr="001A3AAD" w:rsidRDefault="00292897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37008" w:rsidRPr="001A3AAD" w14:paraId="6E9C3A70" w14:textId="77777777" w:rsidTr="00A3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auto"/>
          </w:tcPr>
          <w:p w14:paraId="71A913B5" w14:textId="00467C1F" w:rsidR="00C47D19" w:rsidRPr="0063438C" w:rsidRDefault="00C47D19" w:rsidP="0063438C">
            <w:pPr>
              <w:spacing w:line="21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40CB21CC" w14:textId="77777777" w:rsidR="00C47D19" w:rsidRDefault="00C47D19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C47D19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14. Предусмотреть возможность для регионов вносить изменения в реестр многоквартирных домов, признанных аварийными и подлежащими реконструкции в связи с физическим износом в процессе их эксплуатации, в рамках программ по переселению граждан из аварийного жилищного фонда, признанного таковым с 1 января 2017 года до 1 января 2022 года, дополняя новыми, выявленными после 1 января 2022 года ОКН. Данные действия позволяют региональным властям без дополнительных затрат оперативно распределять предусмотренные бюджетные средства на расселение ОКН, являющихся многоквартирными домами, которые находятся в аварийном состоянии.</w:t>
            </w:r>
          </w:p>
          <w:p w14:paraId="1C934D94" w14:textId="77777777" w:rsidR="00C47D19" w:rsidRDefault="00C47D19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C47D19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15. Предусмотреть возможность для регионов включать в указанный реестр многоквартирных домов выявленные ОКН, а также исторически ценные градоформирующие объекты.</w:t>
            </w:r>
          </w:p>
          <w:p w14:paraId="4B3D0D27" w14:textId="77777777" w:rsidR="00C47D19" w:rsidRDefault="00C47D19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C47D19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16. На федеральном уровне установить обязательное требование по принятию мер по ограничению доступа посторонних лиц (консервация дверных и оконных проёмов) в отношении ОКН, выявленных ОКН и ИЦГФО, а также помещений, расположенных в указанных объектах в течение трёх дней после завершения расселения указанных объектов и/или расположенных в них помещений.</w:t>
            </w:r>
          </w:p>
          <w:p w14:paraId="5721B4BC" w14:textId="77777777" w:rsidR="00C47D19" w:rsidRDefault="00C47D19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17. </w:t>
            </w:r>
            <w:r w:rsidRPr="00C47D19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Разработать отдельную дополнительную федеральную программу по расселению и передачу инвесторам многоквартирных домов ОКН, выявленных ОКН и ИЦГФО  и признанных аварийными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</w:t>
            </w:r>
          </w:p>
          <w:p w14:paraId="431F875C" w14:textId="77777777" w:rsidR="00763A7E" w:rsidRDefault="00763A7E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</w:p>
          <w:p w14:paraId="66F427C7" w14:textId="77777777" w:rsidR="00763A7E" w:rsidRDefault="00763A7E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18. </w:t>
            </w:r>
            <w:r w:rsidR="00292897"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Разработать отдельную федеральную программу по капитальному ремонту ОКН, выявленных ОКН и ИЦГФО, являющихся многоквартирными домами и не признанных аварийными.</w:t>
            </w:r>
          </w:p>
          <w:p w14:paraId="641C5554" w14:textId="29FDA179" w:rsidR="00292897" w:rsidRDefault="00292897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19. 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Рекомендовать субъектам Российской Федерации и органам местного самоуправления наряду с региональными программами капитального ремонта разрабатывать муниципальные программы капитального ремонта, которые также могут финансироваться из бюджета разных уровней с учетом успешного использования этого механизма при проведении ремонтных работ на представляющих историко-архитектурную ценность МКД в городе Томске, где в 2011-2015 гг. было отремонтировано с помощью указанного механизма около 50 исторических зданий. Апробировать данный механизм на нескольких пилотных регионах, после чего сформировать общую концепцию и ввести в KPI региональных органов исполнительной власти капитальный ремонт ОКН и ИЦГФО являющихся многоквартирными дома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ми.</w:t>
            </w:r>
          </w:p>
          <w:p w14:paraId="0228701C" w14:textId="6C4C4526" w:rsidR="00292897" w:rsidRDefault="00292897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20. 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Исключить из Жилищного кодекса РФ положение о том, что в региональные программы капитального ремонта субъектам Российской Федерации предоставляется право не включать МКД с количеством квартир менее 5 в отношении ОКН, выявленных ОКН и ИЦГФО.</w:t>
            </w:r>
          </w:p>
          <w:p w14:paraId="7E65F0D9" w14:textId="2FFDE416" w:rsidR="00292897" w:rsidRPr="00692295" w:rsidRDefault="00292897" w:rsidP="00C47D19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D5BCD4" w14:textId="77777777" w:rsidR="00C47D19" w:rsidRDefault="00C47D19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4DB9DE91" w14:textId="77777777" w:rsidR="00C47D19" w:rsidRDefault="00C47D19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897" w:rsidRPr="001A3AAD" w14:paraId="4853EE08" w14:textId="77777777" w:rsidTr="00A3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auto"/>
          </w:tcPr>
          <w:p w14:paraId="41E537FD" w14:textId="77777777" w:rsidR="00292897" w:rsidRPr="0063438C" w:rsidRDefault="00292897" w:rsidP="0063438C">
            <w:pPr>
              <w:spacing w:line="21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39DD9DC1" w14:textId="65A7C54E" w:rsidR="00292897" w:rsidRPr="00292897" w:rsidRDefault="00292897" w:rsidP="00292897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21. 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Ускорить принятие проекта Федерального закона № 680178-8, разграничивающего понятие «работы, связанные с содержанием объекта культурного наследия, включенного в реестр, не затрагивающие его предмета охраны» и «работы по сохранению объекта культурного наследия».</w:t>
            </w:r>
          </w:p>
          <w:p w14:paraId="05F9CBE2" w14:textId="0FCD3006" w:rsidR="00292897" w:rsidRPr="00292897" w:rsidRDefault="00292897" w:rsidP="00292897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2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2. Проработать вопрос об определении критериев ОКН, позволяющих выделить ОКН, в отношении которых не требуется проведение градостроительной экспертизы; </w:t>
            </w:r>
          </w:p>
          <w:p w14:paraId="5B0F5D9D" w14:textId="4DB81D36" w:rsidR="00292897" w:rsidRPr="00292897" w:rsidRDefault="00292897" w:rsidP="00292897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2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3. Проработать вопрос о принятии изменений в законодательстве, позволяющих разработать проектную документацию и пройти ее градостроительную экспертизу в отношении объектов культурного наследия, расположенных на землях лесного фонда или на землях сельскохозяйственного назначения;</w:t>
            </w:r>
          </w:p>
          <w:p w14:paraId="11A1B623" w14:textId="2B4581F3" w:rsidR="00292897" w:rsidRPr="00C47D19" w:rsidRDefault="00292897" w:rsidP="00292897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2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4. Подготовить изменения в Федеральный закон от 25.06.2002 № 73-ФЗ «Об объектах культурного наследия (памятниках истории и культуры) народов Российской Федерации», разрешающие внесение уточнений (изменений) в проектную документацию в процессе ее рассмотрения органом охраны объектов культурного наследия, по аналогии с нормами Градостроительного кодекса РФ.</w:t>
            </w:r>
          </w:p>
        </w:tc>
        <w:tc>
          <w:tcPr>
            <w:tcW w:w="0" w:type="auto"/>
            <w:shd w:val="clear" w:color="auto" w:fill="auto"/>
          </w:tcPr>
          <w:p w14:paraId="03D50C4C" w14:textId="77777777" w:rsidR="00292897" w:rsidRDefault="00292897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1F458033" w14:textId="77777777" w:rsidR="00292897" w:rsidRDefault="00292897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8C" w:rsidRPr="001A3AAD" w14:paraId="6FF03D7F" w14:textId="77777777" w:rsidTr="00B37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shd w:val="clear" w:color="auto" w:fill="auto"/>
          </w:tcPr>
          <w:p w14:paraId="03D133F7" w14:textId="64618AC8" w:rsidR="0063438C" w:rsidRDefault="00C47D19" w:rsidP="00C47D19">
            <w:pPr>
              <w:spacing w:line="216" w:lineRule="auto"/>
              <w:jc w:val="both"/>
              <w:outlineLvl w:val="0"/>
            </w:pPr>
            <w:r w:rsidRPr="00C47D19">
              <w:rPr>
                <w:rFonts w:ascii="Times New Roman" w:hAnsi="Times New Roman"/>
                <w:color w:val="auto"/>
              </w:rPr>
              <w:t>18-20.04.2025.</w:t>
            </w:r>
            <w:r>
              <w:t xml:space="preserve"> </w:t>
            </w:r>
            <w:hyperlink r:id="rId8" w:history="1">
              <w:r w:rsidR="0063438C" w:rsidRPr="0063438C">
                <w:rPr>
                  <w:rFonts w:ascii="Times New Roman" w:hAnsi="Times New Roman"/>
                  <w:b w:val="0"/>
                  <w:color w:val="auto"/>
                </w:rPr>
                <w:t xml:space="preserve">Комиссия «ОПОРЫ РОССИИ» по развитию бизнеса, сохраняющего </w:t>
              </w:r>
              <w:proofErr w:type="gramStart"/>
              <w:r w:rsidR="0063438C" w:rsidRPr="0063438C">
                <w:rPr>
                  <w:rFonts w:ascii="Times New Roman" w:hAnsi="Times New Roman"/>
                  <w:b w:val="0"/>
                  <w:color w:val="auto"/>
                </w:rPr>
                <w:t>историко-архитектурное наследие</w:t>
              </w:r>
              <w:proofErr w:type="gramEnd"/>
              <w:r w:rsidR="0063438C" w:rsidRPr="0063438C">
                <w:rPr>
                  <w:rFonts w:ascii="Times New Roman" w:hAnsi="Times New Roman"/>
                  <w:b w:val="0"/>
                  <w:color w:val="auto"/>
                </w:rPr>
                <w:t xml:space="preserve"> выступила соорганизатором Форума реновации наследия «СТО ДОМОВ»</w:t>
              </w:r>
            </w:hyperlink>
          </w:p>
          <w:p w14:paraId="51597527" w14:textId="77C4F674" w:rsidR="00C47D19" w:rsidRPr="001A3AAD" w:rsidRDefault="00C47D19" w:rsidP="00C47D19">
            <w:pPr>
              <w:spacing w:line="216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C37008" w:rsidRPr="001A3AAD" w14:paraId="58CDFB07" w14:textId="77777777" w:rsidTr="00A3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auto"/>
          </w:tcPr>
          <w:p w14:paraId="7342AB40" w14:textId="53FBF41F" w:rsidR="00A3122D" w:rsidRPr="001A3AAD" w:rsidRDefault="00355BCA" w:rsidP="00C47D19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C47D19">
              <w:rPr>
                <w:rFonts w:ascii="Times New Roman" w:hAnsi="Times New Roman"/>
                <w:color w:val="auto"/>
              </w:rPr>
              <w:t>15</w:t>
            </w:r>
            <w:r w:rsidR="00C47D19" w:rsidRPr="00C47D19">
              <w:rPr>
                <w:rFonts w:ascii="Times New Roman" w:hAnsi="Times New Roman"/>
                <w:color w:val="auto"/>
              </w:rPr>
              <w:t>.07.2025.</w:t>
            </w:r>
            <w:r w:rsidR="00C47D19">
              <w:rPr>
                <w:rFonts w:ascii="Times New Roman" w:hAnsi="Times New Roman"/>
                <w:b w:val="0"/>
                <w:color w:val="auto"/>
              </w:rPr>
              <w:t xml:space="preserve"> Круглый стол</w:t>
            </w:r>
            <w:r w:rsidRPr="00692295">
              <w:rPr>
                <w:rFonts w:ascii="Times New Roman" w:hAnsi="Times New Roman"/>
                <w:b w:val="0"/>
                <w:color w:val="auto"/>
              </w:rPr>
              <w:t xml:space="preserve"> в Госдуме на тему: «Вовлечение объектов культурного наследия в хозяйственный оборот: законодательные аспекты»</w:t>
            </w:r>
          </w:p>
        </w:tc>
        <w:tc>
          <w:tcPr>
            <w:tcW w:w="0" w:type="auto"/>
            <w:shd w:val="clear" w:color="auto" w:fill="auto"/>
          </w:tcPr>
          <w:p w14:paraId="297F13C3" w14:textId="77777777" w:rsidR="00A54D07" w:rsidRPr="00692295" w:rsidRDefault="00A54D07" w:rsidP="00A54D07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Предложения Комиссии и Ассоциации по ключевым направлениям реформирования сферы сохранения наследия и вовлечению ОКН в экономический оборот:</w:t>
            </w:r>
          </w:p>
          <w:p w14:paraId="0B25E8E6" w14:textId="3DBB1D1E" w:rsidR="00A3122D" w:rsidRPr="00C37008" w:rsidRDefault="00C37008" w:rsidP="00C37008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C37008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1. Утвердить предусмотренный п. 3 ст. 14 </w:t>
            </w:r>
            <w:r w:rsidR="00B37747"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Федеральн</w:t>
            </w:r>
            <w:r w:rsidR="00B3774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ого</w:t>
            </w:r>
            <w:r w:rsidR="00B37747"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закон</w:t>
            </w:r>
            <w:r w:rsidR="00B3774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а</w:t>
            </w:r>
            <w:r w:rsidR="00B37747"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от 25.06.2002 № 73-ФЗ «Об объектах культурного наследия (памятниках истории и культуры) народов Российской Федерации»</w:t>
            </w:r>
            <w:r w:rsidRPr="00C37008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порядок выплаты компенсаций собственникам, пользователям ОКН, вложившим собственные средства в работы по сохранению ОКН.</w:t>
            </w:r>
          </w:p>
          <w:p w14:paraId="0FEF08D9" w14:textId="5C8A64D1" w:rsidR="00C37008" w:rsidRDefault="00C37008" w:rsidP="00C37008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7F01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2. </w:t>
            </w:r>
            <w:r w:rsidR="00B37F01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Создать</w:t>
            </w:r>
            <w:r w:rsidR="00B37F01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отдельн</w:t>
            </w:r>
            <w:r w:rsidR="00B37F01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ый</w:t>
            </w:r>
            <w:r w:rsidR="00B37F01" w:rsidRPr="0069229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ОКВЭД для управления ОКН и статистики их вклада в ВВП</w:t>
            </w:r>
          </w:p>
          <w:p w14:paraId="444A86BC" w14:textId="5739A079" w:rsidR="00B37F01" w:rsidRDefault="00B37F01" w:rsidP="00C37008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3. </w:t>
            </w:r>
            <w:r w:rsidR="001A18ED" w:rsidRPr="008C2C7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Ввести в Национальный инвестиционный рейтинг дополнительные показатели оценки инвестиционного климата регионов – результаты вовлечения ОКН в хозяйственный оборот</w:t>
            </w:r>
          </w:p>
          <w:p w14:paraId="6F74A6CB" w14:textId="318A34FB" w:rsidR="001A18ED" w:rsidRPr="00292897" w:rsidRDefault="001A18ED" w:rsidP="001A18E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4. 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Проработать вопрос 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со строительной экспертизой на ОКН с площадью до 1,5 тыс. кв. м. и высотой не более двух этажей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; </w:t>
            </w:r>
          </w:p>
          <w:p w14:paraId="692FA81D" w14:textId="092FBBF8" w:rsidR="001A18ED" w:rsidRPr="00292897" w:rsidRDefault="001A18ED" w:rsidP="001A18E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5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 Проработать вопрос о принятии изменений в законодательстве, позволяющих разработать проектную документацию и пройти ее градостроительную экспертизу в отношении объектов культурного наследия, расположенных на землях лесного фонда или на землях сельскохозяйственного назначения;</w:t>
            </w:r>
          </w:p>
          <w:p w14:paraId="58CE3592" w14:textId="00AA9F6A" w:rsidR="001A18ED" w:rsidRDefault="001A18ED" w:rsidP="001A18E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6</w:t>
            </w:r>
            <w:r w:rsidRPr="0029289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 Подготовить изменения в Федеральный закон от 25.06.2002 № 73-ФЗ «Об объектах культурного наследия (памятниках истории и культуры) народов Российской Федерации», разрешающие внесение уточнений (изменений) в проектную документацию в процессе ее рассмотрения органом охраны объектов культурного наследия, по аналогии с нормами Градостроительного кодекса РФ.</w:t>
            </w:r>
          </w:p>
          <w:p w14:paraId="67182158" w14:textId="77777777" w:rsidR="00C81C0B" w:rsidRDefault="00E55CEB" w:rsidP="001A18E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7. </w:t>
            </w:r>
            <w:r w:rsidR="00C81C0B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Проработать вопросы:</w:t>
            </w:r>
          </w:p>
          <w:p w14:paraId="63C2881D" w14:textId="3F29B60F" w:rsidR="00E55CEB" w:rsidRDefault="00C81C0B" w:rsidP="001A18ED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- определения статуса экономики исторической недвижимости как самостоятельного отраслевого направления;</w:t>
            </w:r>
          </w:p>
          <w:p w14:paraId="5FB0B866" w14:textId="37111351" w:rsidR="00980E2C" w:rsidRPr="00980E2C" w:rsidRDefault="00C81C0B" w:rsidP="00980E2C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- введения налог</w:t>
            </w:r>
            <w:r w:rsidR="00980E2C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овых и иных льгот и преференций, включая льготы по налогу на имущество, аренду земельного участка в границах территории ОКН, субсидии и гранты для лиц, деятельность которых связана с сохранением, восстановлением, коммерческим использованием ОКН;</w:t>
            </w:r>
          </w:p>
        </w:tc>
        <w:tc>
          <w:tcPr>
            <w:tcW w:w="0" w:type="auto"/>
            <w:shd w:val="clear" w:color="auto" w:fill="auto"/>
          </w:tcPr>
          <w:p w14:paraId="231C5E56" w14:textId="77777777" w:rsidR="00B37F01" w:rsidRDefault="00B37F01" w:rsidP="00B37F01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Принята и направлена в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ФОИВы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резолюция</w:t>
            </w:r>
          </w:p>
          <w:p w14:paraId="199F0E87" w14:textId="77777777" w:rsidR="00A3122D" w:rsidRPr="001A3AAD" w:rsidRDefault="00A3122D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0AE5D74" w14:textId="77777777" w:rsidR="001A18ED" w:rsidRDefault="001A18ED" w:rsidP="001A18E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Учтены/реализованы</w:t>
            </w:r>
            <w:r>
              <w:rPr>
                <w:rFonts w:ascii="Times New Roman" w:hAnsi="Times New Roman"/>
              </w:rPr>
              <w:br/>
              <w:t>предложения:</w:t>
            </w:r>
          </w:p>
          <w:p w14:paraId="4C43F8EA" w14:textId="77777777" w:rsidR="001A18ED" w:rsidRDefault="001A18ED" w:rsidP="001A18E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16DC3455" w14:textId="18D06ED8" w:rsidR="001A18ED" w:rsidRDefault="001A18ED" w:rsidP="001A18E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0F391B04" w14:textId="77777777" w:rsidR="001A18ED" w:rsidRDefault="001A18ED" w:rsidP="001A18E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CB25F81" w14:textId="77777777" w:rsidR="001A18ED" w:rsidRDefault="001A18ED" w:rsidP="001A18E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14:paraId="05FD12FC" w14:textId="77777777" w:rsidR="00A3122D" w:rsidRPr="001A3AAD" w:rsidRDefault="00A3122D" w:rsidP="001A3AA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80E2C" w:rsidRPr="001A3AAD" w14:paraId="680BDF63" w14:textId="77777777" w:rsidTr="00A3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auto"/>
          </w:tcPr>
          <w:p w14:paraId="52BB364A" w14:textId="77777777" w:rsidR="00980E2C" w:rsidRPr="00C47D19" w:rsidRDefault="00980E2C" w:rsidP="00C47D19">
            <w:pPr>
              <w:spacing w:line="21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14:paraId="731E8F8B" w14:textId="5F2A048C" w:rsidR="00980E2C" w:rsidRPr="00692295" w:rsidRDefault="00980E2C" w:rsidP="00980E2C">
            <w:pPr>
              <w:spacing w:line="21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980E2C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- механизма применения зачета произведенных арендаторами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– субъектами МСП затрат </w:t>
            </w:r>
            <w:r w:rsidRPr="00980E2C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на работы по сохранению ОКН в счет оплаты приобретаемого ОКН при его выкупе по преимущественному праву такими арендаторами в соответствии с 159-ФЗ.</w:t>
            </w:r>
          </w:p>
        </w:tc>
        <w:tc>
          <w:tcPr>
            <w:tcW w:w="0" w:type="auto"/>
            <w:shd w:val="clear" w:color="auto" w:fill="auto"/>
          </w:tcPr>
          <w:p w14:paraId="7675BF74" w14:textId="77777777" w:rsidR="00980E2C" w:rsidRDefault="00980E2C" w:rsidP="00B37F01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0" w:type="auto"/>
            <w:shd w:val="clear" w:color="auto" w:fill="auto"/>
          </w:tcPr>
          <w:p w14:paraId="1E3EBE01" w14:textId="77777777" w:rsidR="00980E2C" w:rsidRDefault="00980E2C" w:rsidP="001A18ED">
            <w:pPr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8C" w:rsidRPr="001A3AAD" w14:paraId="729807C1" w14:textId="77777777" w:rsidTr="00B37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shd w:val="clear" w:color="auto" w:fill="auto"/>
          </w:tcPr>
          <w:p w14:paraId="01EC4739" w14:textId="2754F759" w:rsidR="0063438C" w:rsidRDefault="00C81C0B" w:rsidP="00763A7E">
            <w:pPr>
              <w:spacing w:line="216" w:lineRule="auto"/>
              <w:jc w:val="left"/>
              <w:outlineLvl w:val="0"/>
            </w:pPr>
            <w:r w:rsidRPr="00C81C0B">
              <w:rPr>
                <w:rFonts w:ascii="Times New Roman" w:hAnsi="Times New Roman"/>
                <w:color w:val="auto"/>
              </w:rPr>
              <w:t>22-24.08.2025.</w:t>
            </w:r>
            <w:r>
              <w:t xml:space="preserve"> </w:t>
            </w:r>
            <w:hyperlink r:id="rId9" w:history="1">
              <w:r w:rsidR="0063438C" w:rsidRPr="0063438C">
                <w:rPr>
                  <w:rFonts w:ascii="Times New Roman" w:hAnsi="Times New Roman"/>
                  <w:b w:val="0"/>
                  <w:color w:val="auto"/>
                </w:rPr>
                <w:t xml:space="preserve">При участии профильной Комиссии «ОПОРЫ РОССИИ» состоялось мероприятие </w:t>
              </w:r>
              <w:proofErr w:type="spellStart"/>
              <w:r w:rsidR="0063438C" w:rsidRPr="0063438C">
                <w:rPr>
                  <w:rFonts w:ascii="Times New Roman" w:hAnsi="Times New Roman"/>
                  <w:b w:val="0"/>
                  <w:color w:val="auto"/>
                </w:rPr>
                <w:t>Кинопикник</w:t>
              </w:r>
              <w:proofErr w:type="spellEnd"/>
              <w:r w:rsidR="0063438C" w:rsidRPr="0063438C">
                <w:rPr>
                  <w:rFonts w:ascii="Times New Roman" w:hAnsi="Times New Roman"/>
                  <w:b w:val="0"/>
                  <w:color w:val="auto"/>
                </w:rPr>
                <w:t xml:space="preserve"> «КУЛЬТУРА и ДЕНЬГИ»</w:t>
              </w:r>
            </w:hyperlink>
          </w:p>
          <w:p w14:paraId="64DFA3B3" w14:textId="1CCE2FAD" w:rsidR="001A18ED" w:rsidRPr="001A3AAD" w:rsidRDefault="001A18ED" w:rsidP="00763A7E">
            <w:pPr>
              <w:spacing w:line="216" w:lineRule="auto"/>
              <w:jc w:val="left"/>
              <w:outlineLvl w:val="0"/>
              <w:rPr>
                <w:rFonts w:ascii="Times New Roman" w:hAnsi="Times New Roman"/>
              </w:rPr>
            </w:pPr>
          </w:p>
        </w:tc>
      </w:tr>
      <w:tr w:rsidR="001A18ED" w:rsidRPr="001A3AAD" w14:paraId="47773EBA" w14:textId="77777777" w:rsidTr="008C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shd w:val="clear" w:color="auto" w:fill="auto"/>
          </w:tcPr>
          <w:p w14:paraId="52A1C72E" w14:textId="77777777" w:rsidR="001A18ED" w:rsidRDefault="001A18ED" w:rsidP="001A18ED">
            <w:pPr>
              <w:spacing w:line="21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1A18ED">
              <w:rPr>
                <w:rFonts w:ascii="Times New Roman" w:hAnsi="Times New Roman"/>
                <w:b w:val="0"/>
                <w:color w:val="auto"/>
              </w:rPr>
              <w:t xml:space="preserve">С 2026 года в российских регионах начнут внедрять </w:t>
            </w:r>
            <w:hyperlink r:id="rId10" w:tgtFrame="_blank" w:history="1">
              <w:r w:rsidRPr="00380295">
                <w:rPr>
                  <w:rFonts w:ascii="Times New Roman" w:hAnsi="Times New Roman"/>
                  <w:color w:val="auto"/>
                </w:rPr>
                <w:t>единый Модельный стандарт по привлечению частных инвестиций в объекты культурного наследия (ОКН)</w:t>
              </w:r>
            </w:hyperlink>
            <w:r w:rsidRPr="001A18ED">
              <w:rPr>
                <w:rFonts w:ascii="Times New Roman" w:hAnsi="Times New Roman"/>
                <w:b w:val="0"/>
                <w:color w:val="auto"/>
              </w:rPr>
              <w:t xml:space="preserve">, разработанный АСИ, Минкультуры и </w:t>
            </w:r>
            <w:hyperlink r:id="rId11" w:tgtFrame="_blank" w:history="1">
              <w:r w:rsidRPr="001A18ED">
                <w:rPr>
                  <w:rFonts w:ascii="Times New Roman" w:hAnsi="Times New Roman"/>
                  <w:b w:val="0"/>
                  <w:color w:val="auto"/>
                </w:rPr>
                <w:t>ДОМ.РФ</w:t>
              </w:r>
            </w:hyperlink>
            <w:r w:rsidRPr="001A18ED">
              <w:rPr>
                <w:rFonts w:ascii="Times New Roman" w:hAnsi="Times New Roman"/>
                <w:b w:val="0"/>
                <w:color w:val="auto"/>
              </w:rPr>
              <w:t>. Необходимо вовлечь в экономику до 20 тысяч ОКН, используя их для развития туризма и креативных индустрий. Стандарт упорядочивает работу с инвесторами через «одно окно», рекомендует сократить сроки согласований до 20 дней и перевести процессы в цифру.</w:t>
            </w:r>
            <w:bookmarkStart w:id="0" w:name="_GoBack"/>
            <w:bookmarkEnd w:id="0"/>
          </w:p>
          <w:p w14:paraId="58EAEC47" w14:textId="41BCC55D" w:rsidR="001A18ED" w:rsidRPr="001A3AAD" w:rsidRDefault="001A18ED" w:rsidP="001A18ED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1A18ED">
              <w:rPr>
                <w:rFonts w:ascii="Times New Roman" w:hAnsi="Times New Roman"/>
                <w:b w:val="0"/>
                <w:color w:val="auto"/>
              </w:rPr>
              <w:t xml:space="preserve">Принятие </w:t>
            </w:r>
            <w:proofErr w:type="spellStart"/>
            <w:r w:rsidRPr="001A18ED">
              <w:rPr>
                <w:rFonts w:ascii="Times New Roman" w:hAnsi="Times New Roman"/>
                <w:b w:val="0"/>
                <w:color w:val="auto"/>
              </w:rPr>
              <w:t>Cтандарта</w:t>
            </w:r>
            <w:proofErr w:type="spellEnd"/>
            <w:r w:rsidRPr="001A18ED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Start"/>
            <w:r w:rsidRPr="001A18ED">
              <w:rPr>
                <w:rFonts w:ascii="Times New Roman" w:hAnsi="Times New Roman"/>
                <w:b w:val="0"/>
                <w:color w:val="auto"/>
              </w:rPr>
              <w:t>- это</w:t>
            </w:r>
            <w:proofErr w:type="gramEnd"/>
            <w:r w:rsidRPr="001A18ED">
              <w:rPr>
                <w:rFonts w:ascii="Times New Roman" w:hAnsi="Times New Roman"/>
                <w:b w:val="0"/>
                <w:color w:val="auto"/>
              </w:rPr>
              <w:t xml:space="preserve"> победа Ассоциации "Клуб инвесторов в историческую недвижимость" и Комиссии "ОПОРЫ РОССИИ" по развитию бизнеса, сохраняющего историко-архитектурное наследие</w:t>
            </w:r>
            <w:r>
              <w:rPr>
                <w:rFonts w:ascii="Times New Roman" w:hAnsi="Times New Roman"/>
                <w:b w:val="0"/>
                <w:color w:val="auto"/>
              </w:rPr>
              <w:t>.</w:t>
            </w:r>
            <w:r w:rsidRPr="001A18ED">
              <w:rPr>
                <w:rFonts w:ascii="Times New Roman" w:hAnsi="Times New Roman"/>
                <w:b w:val="0"/>
                <w:color w:val="auto"/>
              </w:rPr>
              <w:t xml:space="preserve"> Наше масштабное сообщество инициировало данную инициативу в 2021 году и на протяжении 4 лет работало над содержанием и продвижением Стандарта, что позволило консолидировать новую зарождающуюся отрасль экономики наследия.</w:t>
            </w:r>
          </w:p>
        </w:tc>
      </w:tr>
    </w:tbl>
    <w:p w14:paraId="5D1894D7" w14:textId="77777777" w:rsidR="005777E1" w:rsidRPr="001A3AAD" w:rsidRDefault="005777E1" w:rsidP="001A3AAD">
      <w:pPr>
        <w:pStyle w:val="a6"/>
        <w:spacing w:before="0" w:after="0" w:line="216" w:lineRule="auto"/>
        <w:rPr>
          <w:rFonts w:ascii="Times New Roman" w:hAnsi="Times New Roman"/>
          <w:sz w:val="28"/>
          <w:szCs w:val="28"/>
          <w:lang w:val="ru-RU"/>
        </w:rPr>
      </w:pPr>
    </w:p>
    <w:sectPr w:rsidR="005777E1" w:rsidRPr="001A3AAD" w:rsidSect="00770062">
      <w:footerReference w:type="default" r:id="rId12"/>
      <w:pgSz w:w="16838" w:h="11906" w:orient="landscape" w:code="9"/>
      <w:pgMar w:top="851" w:right="624" w:bottom="851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57D22" w14:textId="77777777" w:rsidR="00164CFC" w:rsidRDefault="00164CFC" w:rsidP="00946EC4">
      <w:r>
        <w:separator/>
      </w:r>
    </w:p>
  </w:endnote>
  <w:endnote w:type="continuationSeparator" w:id="0">
    <w:p w14:paraId="76A62D47" w14:textId="77777777" w:rsidR="00164CFC" w:rsidRDefault="00164CFC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D52F" w14:textId="77777777" w:rsidR="00B37F01" w:rsidRDefault="00B37F01"/>
  <w:p w14:paraId="5530D570" w14:textId="1F7087FD" w:rsidR="00B37F01" w:rsidRDefault="00B37F01" w:rsidP="00A3122D">
    <w:pPr>
      <w:pStyle w:val="af4"/>
      <w:tabs>
        <w:tab w:val="clear" w:pos="4677"/>
        <w:tab w:val="clear" w:pos="9355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C7A60" w14:textId="77777777" w:rsidR="00164CFC" w:rsidRDefault="00164CFC" w:rsidP="00946EC4">
      <w:r>
        <w:separator/>
      </w:r>
    </w:p>
  </w:footnote>
  <w:footnote w:type="continuationSeparator" w:id="0">
    <w:p w14:paraId="2AECA896" w14:textId="77777777" w:rsidR="00164CFC" w:rsidRDefault="00164CFC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3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C95B82"/>
    <w:multiLevelType w:val="hybridMultilevel"/>
    <w:tmpl w:val="2B6AFA52"/>
    <w:lvl w:ilvl="0" w:tplc="8140FA8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0608C"/>
    <w:multiLevelType w:val="hybridMultilevel"/>
    <w:tmpl w:val="4210B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9" w15:restartNumberingAfterBreak="0">
    <w:nsid w:val="44750EEB"/>
    <w:multiLevelType w:val="hybridMultilevel"/>
    <w:tmpl w:val="23E8DE7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11" w15:restartNumberingAfterBreak="0">
    <w:nsid w:val="6AC97399"/>
    <w:multiLevelType w:val="hybridMultilevel"/>
    <w:tmpl w:val="F582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6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4"/>
  </w:num>
  <w:num w:numId="27">
    <w:abstractNumId w:val="9"/>
  </w:num>
  <w:num w:numId="28">
    <w:abstractNumId w:val="7"/>
  </w:num>
  <w:num w:numId="2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62"/>
    <w:rsid w:val="00006388"/>
    <w:rsid w:val="00017C73"/>
    <w:rsid w:val="00036287"/>
    <w:rsid w:val="00065E39"/>
    <w:rsid w:val="000959A9"/>
    <w:rsid w:val="000B575D"/>
    <w:rsid w:val="000B5803"/>
    <w:rsid w:val="00104C00"/>
    <w:rsid w:val="00106AB3"/>
    <w:rsid w:val="00127299"/>
    <w:rsid w:val="00132C90"/>
    <w:rsid w:val="00140D3B"/>
    <w:rsid w:val="00161AC3"/>
    <w:rsid w:val="00164CFC"/>
    <w:rsid w:val="00171F96"/>
    <w:rsid w:val="001A059E"/>
    <w:rsid w:val="001A18ED"/>
    <w:rsid w:val="001A3AAD"/>
    <w:rsid w:val="001B0877"/>
    <w:rsid w:val="001C08F4"/>
    <w:rsid w:val="001C0CCB"/>
    <w:rsid w:val="001C173E"/>
    <w:rsid w:val="001C6722"/>
    <w:rsid w:val="001F1F5A"/>
    <w:rsid w:val="001F3AD4"/>
    <w:rsid w:val="001F5D02"/>
    <w:rsid w:val="001F72B5"/>
    <w:rsid w:val="002035BC"/>
    <w:rsid w:val="002221BE"/>
    <w:rsid w:val="00241BDA"/>
    <w:rsid w:val="0025334F"/>
    <w:rsid w:val="00286CFD"/>
    <w:rsid w:val="00292897"/>
    <w:rsid w:val="00296621"/>
    <w:rsid w:val="002A02D6"/>
    <w:rsid w:val="002A2BF6"/>
    <w:rsid w:val="002B2422"/>
    <w:rsid w:val="002D111B"/>
    <w:rsid w:val="002E7E98"/>
    <w:rsid w:val="002F1EE0"/>
    <w:rsid w:val="00300C7C"/>
    <w:rsid w:val="003341E0"/>
    <w:rsid w:val="00355BCA"/>
    <w:rsid w:val="00355D2B"/>
    <w:rsid w:val="0036784A"/>
    <w:rsid w:val="0037165A"/>
    <w:rsid w:val="003737E1"/>
    <w:rsid w:val="00380295"/>
    <w:rsid w:val="00384EDC"/>
    <w:rsid w:val="0038621F"/>
    <w:rsid w:val="00394E88"/>
    <w:rsid w:val="003B2AB0"/>
    <w:rsid w:val="003D36E2"/>
    <w:rsid w:val="003D671F"/>
    <w:rsid w:val="00422261"/>
    <w:rsid w:val="00427E19"/>
    <w:rsid w:val="0043160C"/>
    <w:rsid w:val="004373EF"/>
    <w:rsid w:val="00440A41"/>
    <w:rsid w:val="00442A8E"/>
    <w:rsid w:val="004703B7"/>
    <w:rsid w:val="004A1995"/>
    <w:rsid w:val="004B5594"/>
    <w:rsid w:val="004E0724"/>
    <w:rsid w:val="004E5918"/>
    <w:rsid w:val="0050421D"/>
    <w:rsid w:val="00505FAC"/>
    <w:rsid w:val="005060D9"/>
    <w:rsid w:val="00512336"/>
    <w:rsid w:val="00515E24"/>
    <w:rsid w:val="005504BB"/>
    <w:rsid w:val="00557568"/>
    <w:rsid w:val="00563457"/>
    <w:rsid w:val="005777E1"/>
    <w:rsid w:val="00583414"/>
    <w:rsid w:val="00592877"/>
    <w:rsid w:val="005935CE"/>
    <w:rsid w:val="005A020D"/>
    <w:rsid w:val="005A1308"/>
    <w:rsid w:val="005A3F0A"/>
    <w:rsid w:val="005C07BF"/>
    <w:rsid w:val="005D40A4"/>
    <w:rsid w:val="005F2382"/>
    <w:rsid w:val="00616AB0"/>
    <w:rsid w:val="00631D36"/>
    <w:rsid w:val="0063438C"/>
    <w:rsid w:val="0063610B"/>
    <w:rsid w:val="0065762E"/>
    <w:rsid w:val="00660A14"/>
    <w:rsid w:val="00665FDF"/>
    <w:rsid w:val="006678FD"/>
    <w:rsid w:val="00675162"/>
    <w:rsid w:val="006868F4"/>
    <w:rsid w:val="00691E8B"/>
    <w:rsid w:val="00692295"/>
    <w:rsid w:val="006A1E50"/>
    <w:rsid w:val="006F4376"/>
    <w:rsid w:val="006F5E01"/>
    <w:rsid w:val="00703CA2"/>
    <w:rsid w:val="00705B6C"/>
    <w:rsid w:val="0072156C"/>
    <w:rsid w:val="00724A04"/>
    <w:rsid w:val="00727B96"/>
    <w:rsid w:val="00745809"/>
    <w:rsid w:val="00754A4F"/>
    <w:rsid w:val="00763A7E"/>
    <w:rsid w:val="00770062"/>
    <w:rsid w:val="00782442"/>
    <w:rsid w:val="0078715D"/>
    <w:rsid w:val="007B38D1"/>
    <w:rsid w:val="007E0A0C"/>
    <w:rsid w:val="00805CAA"/>
    <w:rsid w:val="0081476A"/>
    <w:rsid w:val="00852E73"/>
    <w:rsid w:val="00860483"/>
    <w:rsid w:val="00871F26"/>
    <w:rsid w:val="0088299C"/>
    <w:rsid w:val="0088640D"/>
    <w:rsid w:val="008A3A0E"/>
    <w:rsid w:val="008C2C73"/>
    <w:rsid w:val="008E3484"/>
    <w:rsid w:val="008E684F"/>
    <w:rsid w:val="008E7861"/>
    <w:rsid w:val="00906B9E"/>
    <w:rsid w:val="009400E1"/>
    <w:rsid w:val="00946EC4"/>
    <w:rsid w:val="00980E2C"/>
    <w:rsid w:val="009B36CC"/>
    <w:rsid w:val="009D2869"/>
    <w:rsid w:val="009D3FDE"/>
    <w:rsid w:val="009E03F5"/>
    <w:rsid w:val="009E4D96"/>
    <w:rsid w:val="00A003D0"/>
    <w:rsid w:val="00A171EA"/>
    <w:rsid w:val="00A20C65"/>
    <w:rsid w:val="00A3122D"/>
    <w:rsid w:val="00A54D07"/>
    <w:rsid w:val="00A61671"/>
    <w:rsid w:val="00A96661"/>
    <w:rsid w:val="00A97F2B"/>
    <w:rsid w:val="00AA3DAC"/>
    <w:rsid w:val="00AB48C3"/>
    <w:rsid w:val="00AC0714"/>
    <w:rsid w:val="00AC657D"/>
    <w:rsid w:val="00AF3708"/>
    <w:rsid w:val="00B07665"/>
    <w:rsid w:val="00B30603"/>
    <w:rsid w:val="00B37747"/>
    <w:rsid w:val="00B37F01"/>
    <w:rsid w:val="00B50C57"/>
    <w:rsid w:val="00B5220E"/>
    <w:rsid w:val="00B73C25"/>
    <w:rsid w:val="00BB5970"/>
    <w:rsid w:val="00BC37EC"/>
    <w:rsid w:val="00BC64A1"/>
    <w:rsid w:val="00BF2882"/>
    <w:rsid w:val="00C04DAF"/>
    <w:rsid w:val="00C073A3"/>
    <w:rsid w:val="00C175B1"/>
    <w:rsid w:val="00C21E75"/>
    <w:rsid w:val="00C236FF"/>
    <w:rsid w:val="00C37008"/>
    <w:rsid w:val="00C47D19"/>
    <w:rsid w:val="00C632AA"/>
    <w:rsid w:val="00C81C0B"/>
    <w:rsid w:val="00C9136B"/>
    <w:rsid w:val="00CA3F90"/>
    <w:rsid w:val="00CC7B66"/>
    <w:rsid w:val="00CD0C00"/>
    <w:rsid w:val="00D133E8"/>
    <w:rsid w:val="00D278FB"/>
    <w:rsid w:val="00D30EC9"/>
    <w:rsid w:val="00D76D7E"/>
    <w:rsid w:val="00D80126"/>
    <w:rsid w:val="00DA2325"/>
    <w:rsid w:val="00DB4368"/>
    <w:rsid w:val="00DB48AB"/>
    <w:rsid w:val="00DB6876"/>
    <w:rsid w:val="00DC2F3F"/>
    <w:rsid w:val="00DC6E48"/>
    <w:rsid w:val="00DF0AE1"/>
    <w:rsid w:val="00E33D60"/>
    <w:rsid w:val="00E43988"/>
    <w:rsid w:val="00E5145B"/>
    <w:rsid w:val="00E52538"/>
    <w:rsid w:val="00E55CEB"/>
    <w:rsid w:val="00E60A08"/>
    <w:rsid w:val="00E655FA"/>
    <w:rsid w:val="00EA4C8A"/>
    <w:rsid w:val="00EA7058"/>
    <w:rsid w:val="00EC3B7F"/>
    <w:rsid w:val="00ED1648"/>
    <w:rsid w:val="00EE1FF4"/>
    <w:rsid w:val="00EE530D"/>
    <w:rsid w:val="00F10A5B"/>
    <w:rsid w:val="00F11AF5"/>
    <w:rsid w:val="00F242A2"/>
    <w:rsid w:val="00F5668B"/>
    <w:rsid w:val="00F62FF8"/>
    <w:rsid w:val="00F64814"/>
    <w:rsid w:val="00F66DED"/>
    <w:rsid w:val="00FC0855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F2098"/>
  <w15:docId w15:val="{C2292ECA-0303-46EB-A73D-EEA0C3D9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770062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0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0">
    <w:name w:val="Таблица 3 (полная)"/>
    <w:basedOn w:val="20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1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1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34"/>
    <w:qFormat/>
    <w:locked/>
    <w:rsid w:val="00770062"/>
    <w:pPr>
      <w:ind w:left="720"/>
      <w:contextualSpacing/>
    </w:pPr>
  </w:style>
  <w:style w:type="character" w:styleId="afb">
    <w:name w:val="Strong"/>
    <w:basedOn w:val="a2"/>
    <w:uiPriority w:val="22"/>
    <w:qFormat/>
    <w:locked/>
    <w:rsid w:val="00355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ra.ru/news/otraslevoe-razvitie/komissiya-opory-rossii-po-razvitiyu-biznesa-sokhranyayushchego-istoriko-arkhitekturnoe-nasledie-vystupila-soorganizator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d1aqf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ommersant.ru/doc/8363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ora.ru/news/otraslevoe-razvitie/pri-uchastii-profilnoy-komissii-opory-rossii-sostoyalos-meropriyatie-kinopiknik-kultura-i-deng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2A8F-7401-4329-B09A-222C0CE0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Реут Екатерина</cp:lastModifiedBy>
  <cp:revision>2</cp:revision>
  <dcterms:created xsi:type="dcterms:W3CDTF">2026-01-28T14:09:00Z</dcterms:created>
  <dcterms:modified xsi:type="dcterms:W3CDTF">2026-01-28T14:09:00Z</dcterms:modified>
</cp:coreProperties>
</file>