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81" w:rsidRDefault="000D2481" w:rsidP="000D248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Проект программы</w:t>
      </w:r>
    </w:p>
    <w:p w:rsidR="000D2481" w:rsidRDefault="000D2481" w:rsidP="000D2481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Межрегиональный форум по повышению доступности энергетической инфраструктуры»</w:t>
      </w:r>
    </w:p>
    <w:p w:rsidR="000D2481" w:rsidRDefault="000D2481" w:rsidP="000D2481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0D2481" w:rsidRDefault="000D2481" w:rsidP="000D24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Организаторы:</w:t>
      </w:r>
    </w:p>
    <w:p w:rsidR="000D2481" w:rsidRDefault="000D2481" w:rsidP="000D24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Челябинской области</w:t>
      </w:r>
    </w:p>
    <w:p w:rsidR="000D2481" w:rsidRDefault="000D2481" w:rsidP="000D24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Челябинское областное отделение «ОПОРА РОССИИ»</w:t>
      </w:r>
    </w:p>
    <w:p w:rsidR="000D2481" w:rsidRDefault="000D2481" w:rsidP="000D24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ОАО «МРСК Урала»</w:t>
      </w:r>
    </w:p>
    <w:p w:rsidR="000D2481" w:rsidRDefault="000D2481" w:rsidP="000D24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Агентство стратегических инициатив</w:t>
      </w:r>
    </w:p>
    <w:p w:rsidR="000D2481" w:rsidRDefault="000D2481" w:rsidP="000D2481">
      <w:pPr>
        <w:jc w:val="both"/>
        <w:rPr>
          <w:rFonts w:ascii="Arial" w:hAnsi="Arial" w:cs="Arial"/>
          <w:b/>
          <w:sz w:val="20"/>
          <w:szCs w:val="20"/>
        </w:rPr>
      </w:pPr>
    </w:p>
    <w:p w:rsidR="000D2481" w:rsidRDefault="000D2481" w:rsidP="000D24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Ключевая тема пленарного заседания: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Профиль Челябинской области по итогам 2016г. по направлению «Технологическое присоединение к электрическим сетям»;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региональных органов исполнительной власти в «Дорожной карте» по внедрению целевой модели «Подключение (технологическое присоединение) к электрическим сетям в Челябинской области»;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территориальных сетевых организаций в «Дорожной карте» по внедрению целевой модели «Подключение (технологическое присоединение) к электрическим сетям в Челябинской области»;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</w:t>
      </w:r>
      <w:proofErr w:type="spellStart"/>
      <w:r>
        <w:rPr>
          <w:rFonts w:ascii="Arial" w:hAnsi="Arial" w:cs="Arial"/>
          <w:sz w:val="20"/>
          <w:szCs w:val="20"/>
        </w:rPr>
        <w:t>энергосбытовых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организаций в «Дорожной карте» по внедрению целевой модели «Подключение (технологическое присоединение) к электрическим сетям в Челябинской области»</w:t>
      </w:r>
    </w:p>
    <w:p w:rsidR="000D2481" w:rsidRDefault="000D2481" w:rsidP="000D2481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481" w:rsidRDefault="000D2481" w:rsidP="000D24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Ключевые темы круглых столов: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 по повышению эффективности на этапе заключения договоров технологического присоединения (информационные программы для потребителей, удобство подачи заявок, интерактивные сервисы для потребителей, прозрачность расчетов платы); 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 по повышению эффективности на этапе выполнения мероприятий по технологическому присоединению (в </w:t>
      </w:r>
      <w:proofErr w:type="spellStart"/>
      <w:r>
        <w:rPr>
          <w:rFonts w:ascii="Arial" w:hAnsi="Arial" w:cs="Arial"/>
          <w:sz w:val="20"/>
          <w:szCs w:val="20"/>
        </w:rPr>
        <w:t>т.ч</w:t>
      </w:r>
      <w:proofErr w:type="spellEnd"/>
      <w:r>
        <w:rPr>
          <w:rFonts w:ascii="Arial" w:hAnsi="Arial" w:cs="Arial"/>
          <w:sz w:val="20"/>
          <w:szCs w:val="20"/>
        </w:rPr>
        <w:t xml:space="preserve">. оптимизация процедур размещения </w:t>
      </w:r>
      <w:proofErr w:type="spellStart"/>
      <w:r>
        <w:rPr>
          <w:rFonts w:ascii="Arial" w:hAnsi="Arial" w:cs="Arial"/>
          <w:sz w:val="20"/>
          <w:szCs w:val="20"/>
        </w:rPr>
        <w:t>энергообъектов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 по повышению эффективности на этапе оформления документов по технологическому присоединению (оформление документов по итогам присоединения, взаимодействие с </w:t>
      </w:r>
      <w:proofErr w:type="spellStart"/>
      <w:r>
        <w:rPr>
          <w:rFonts w:ascii="Arial" w:hAnsi="Arial" w:cs="Arial"/>
          <w:sz w:val="20"/>
          <w:szCs w:val="20"/>
        </w:rPr>
        <w:t>энергосбытовой</w:t>
      </w:r>
      <w:proofErr w:type="spellEnd"/>
      <w:r>
        <w:rPr>
          <w:rFonts w:ascii="Arial" w:hAnsi="Arial" w:cs="Arial"/>
          <w:sz w:val="20"/>
          <w:szCs w:val="20"/>
        </w:rPr>
        <w:t xml:space="preserve"> компанией);</w:t>
      </w:r>
    </w:p>
    <w:p w:rsidR="000D2481" w:rsidRDefault="000D2481" w:rsidP="000D24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Синхронизация схем и программ развития электроэнергетики с планами территориальных сетевых организаций. </w:t>
      </w:r>
    </w:p>
    <w:p w:rsidR="000D2481" w:rsidRDefault="000D2481" w:rsidP="000D2481">
      <w:pPr>
        <w:ind w:left="720"/>
        <w:contextualSpacing/>
        <w:jc w:val="both"/>
        <w:rPr>
          <w:sz w:val="21"/>
          <w:szCs w:val="21"/>
        </w:rPr>
      </w:pPr>
    </w:p>
    <w:p w:rsidR="000D2481" w:rsidRDefault="000D2481" w:rsidP="000D248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Программа форума:</w:t>
      </w:r>
    </w:p>
    <w:p w:rsidR="000D2481" w:rsidRDefault="000D2481" w:rsidP="000D2481">
      <w:pPr>
        <w:rPr>
          <w:rFonts w:ascii="Arial" w:hAnsi="Arial" w:cs="Arial"/>
          <w:b/>
          <w:sz w:val="21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Время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Мероприятие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31 мая 2017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09.30 - 10.00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Регистрация участников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10.00 - 12.00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Пленарное заседание (большой зал заседаний, 4 этаж)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12.00 - 12.45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Брифинг/ подход к прессе, кофе-брейк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12.45- 13.00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Переход на секционные площадки 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13.00- 1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Работа на секционных площадках по ключевым темам (4 и 3 этажи)</w:t>
            </w:r>
          </w:p>
        </w:tc>
      </w:tr>
      <w:tr w:rsidR="000D2481" w:rsidTr="000D2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14.30- 15.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Итоги, предложения в резолюцию форума (большой зал заседаний)</w:t>
            </w:r>
          </w:p>
        </w:tc>
      </w:tr>
    </w:tbl>
    <w:p w:rsidR="000D2481" w:rsidRDefault="000D2481" w:rsidP="000D2481">
      <w:pPr>
        <w:rPr>
          <w:rFonts w:ascii="Arial" w:hAnsi="Arial" w:cs="Arial"/>
          <w:b/>
          <w:sz w:val="21"/>
          <w:szCs w:val="21"/>
        </w:rPr>
      </w:pPr>
    </w:p>
    <w:p w:rsidR="000D2481" w:rsidRDefault="000D2481" w:rsidP="000D24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Детальная программа </w:t>
      </w:r>
      <w:r>
        <w:rPr>
          <w:rFonts w:ascii="Arial" w:hAnsi="Arial" w:cs="Arial"/>
          <w:sz w:val="21"/>
          <w:szCs w:val="21"/>
        </w:rPr>
        <w:t>– уточняется.</w:t>
      </w:r>
    </w:p>
    <w:p w:rsidR="000D2481" w:rsidRDefault="000D2481" w:rsidP="000D2481">
      <w:pPr>
        <w:rPr>
          <w:rFonts w:ascii="Arial" w:hAnsi="Arial" w:cs="Arial"/>
          <w:sz w:val="21"/>
          <w:szCs w:val="21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1418"/>
        <w:gridCol w:w="5812"/>
        <w:gridCol w:w="2552"/>
      </w:tblGrid>
      <w:tr w:rsidR="000D2481" w:rsidTr="000D24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Время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Спикер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Темы выступлений</w:t>
            </w:r>
          </w:p>
        </w:tc>
      </w:tr>
      <w:tr w:rsidR="000D2481" w:rsidTr="000D2481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Пленарное заседание</w:t>
            </w:r>
          </w:p>
        </w:tc>
      </w:tr>
      <w:tr w:rsidR="000D2481" w:rsidTr="000D2481">
        <w:trPr>
          <w:trHeight w:val="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10.00-10.10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Артемьев Артем Александрович,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Модератор,</w:t>
            </w:r>
            <w:r>
              <w:rPr>
                <w:rFonts w:ascii="Arial" w:hAnsi="Arial" w:cs="Arial"/>
                <w:sz w:val="21"/>
                <w:szCs w:val="21"/>
              </w:rPr>
              <w:t xml:space="preserve"> Председатель ЧОО «ОПОРА РОССИИ», член Правления ОПОРЫ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Приветственное слово</w:t>
            </w:r>
          </w:p>
        </w:tc>
      </w:tr>
      <w:tr w:rsidR="000D2481" w:rsidTr="000D2481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10.10-10.30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Кучиц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Татьяна Валерьевна,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Министр тарифного регулирования и энергетики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Приветственное слово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10.30-10.35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Смольников Сергей Александрович,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Министр экономического развития Челябинской области</w:t>
            </w:r>
            <w:r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Приветственное слово</w:t>
            </w:r>
          </w:p>
        </w:tc>
      </w:tr>
      <w:tr w:rsidR="000D2481" w:rsidTr="000D2481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10.35-10.40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Тупикин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Виктор Александрович, </w:t>
            </w:r>
            <w:r>
              <w:rPr>
                <w:rFonts w:ascii="Arial" w:hAnsi="Arial" w:cs="Arial"/>
                <w:sz w:val="21"/>
                <w:szCs w:val="21"/>
              </w:rPr>
              <w:t xml:space="preserve">Министр строительства и инфраструктуры Челябинской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Приветственное слово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481" w:rsidTr="000D2481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10.40-10.45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Бобраков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Алексей Евгеньевич </w:t>
            </w:r>
            <w:r>
              <w:rPr>
                <w:rFonts w:ascii="Arial" w:hAnsi="Arial" w:cs="Arial"/>
                <w:sz w:val="21"/>
                <w:szCs w:val="21"/>
              </w:rPr>
              <w:t xml:space="preserve">Министр имущества и природных ресурсов Челябинской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Приветственное слово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481" w:rsidTr="000D2481">
        <w:trPr>
          <w:trHeight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10.45-11.00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Шагаев Валерий Михайлович</w:t>
            </w:r>
            <w:r>
              <w:rPr>
                <w:rFonts w:ascii="Arial" w:hAnsi="Arial" w:cs="Arial"/>
                <w:sz w:val="21"/>
                <w:szCs w:val="21"/>
              </w:rPr>
              <w:t xml:space="preserve">, член правления, председатель комиссии по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импортозамещению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Общероссийской общественной организации малого и среднего предпринимательства «ОПОРА РОССИИ», член совещательного органа ПАО «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Россети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11.00-11.15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Лобко Анатолий Вадимович,</w:t>
            </w:r>
          </w:p>
          <w:p w:rsidR="000D2481" w:rsidRDefault="000D248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АНО «Агентство инвестиционного развития»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11.15-11.30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Козлова Анна Алексеевна, </w:t>
            </w:r>
            <w:r>
              <w:rPr>
                <w:rFonts w:ascii="Arial" w:hAnsi="Arial" w:cs="Arial"/>
                <w:sz w:val="21"/>
                <w:szCs w:val="21"/>
              </w:rPr>
              <w:t>руководитель УФАС по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11.30-11.45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Степанова Татьяна Андреевна,</w:t>
            </w:r>
          </w:p>
          <w:p w:rsidR="000D2481" w:rsidRDefault="000D248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АНО «Агентство инвестиционного развития города Челябинска»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 w:rsidP="00D34585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11.45-12.00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Представитель Федеральной рабочей группы по целевой модели «Подключение (технологическое присоединение) к электрическим сетям»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Доклад</w:t>
            </w:r>
          </w:p>
        </w:tc>
      </w:tr>
      <w:tr w:rsidR="000D2481" w:rsidTr="000D24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12.00-13.00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Пресс-подход, кофе-брейк </w:t>
            </w:r>
          </w:p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 переход на секционные площадки</w:t>
            </w:r>
          </w:p>
        </w:tc>
      </w:tr>
      <w:tr w:rsidR="000D2481" w:rsidTr="000D24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D2481" w:rsidTr="000D24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13.00-14.30</w:t>
            </w: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81" w:rsidRDefault="000D24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Работа секционных площадок по ключевым темам заседания: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Площадка № 1 (круглый стол):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«Взаимоотношения между субъектами энергетического рынка (сетевыми организациями,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энергосбытовыми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организациями), МСП и органами власти при осуществлении технологического присоединения к электрическим сетям»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(предполагаемый </w:t>
            </w:r>
            <w:r>
              <w:rPr>
                <w:rFonts w:ascii="Arial" w:hAnsi="Arial" w:cs="Arial"/>
                <w:b/>
                <w:sz w:val="21"/>
                <w:szCs w:val="21"/>
              </w:rPr>
              <w:t>модератор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Шагаев В.М.</w:t>
            </w:r>
            <w:r>
              <w:rPr>
                <w:rFonts w:ascii="Arial" w:hAnsi="Arial" w:cs="Arial"/>
                <w:sz w:val="21"/>
                <w:szCs w:val="21"/>
              </w:rPr>
              <w:t xml:space="preserve">, член правления, председатель комиссии по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импортозамещению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Общероссийской общественной организации малого и среднего предпринимательства «ОПОРА РОССИИ», член совещательного органа ПАО «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Россети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»)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(зал № 1, большой зал заседаний Правительства ЧО, 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.)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Участники</w:t>
            </w:r>
            <w:r>
              <w:rPr>
                <w:rFonts w:ascii="Arial" w:hAnsi="Arial" w:cs="Arial"/>
                <w:sz w:val="21"/>
                <w:szCs w:val="21"/>
              </w:rPr>
              <w:t xml:space="preserve">: Представители Министерства тарифного регулирования, Министерства строительства ЧО, Министерства имущества и природных ресурсов ЧО, АСИ, Общественная палата ЧО, УФАС, Уполномоченный по защите прав предпринимателей, Сетевые компании (в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ОАО «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МРСК  Урала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», ООО «АЭС Инвест», ОАО «Челябинская электросетевая компания»),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Энергосбытовые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компании (в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ПАО «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Челябэнергосбыт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»), строительные компании, бизнес-сообщества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Площадка № 2 (круглый стол):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«Роль регионов и органов местного самоуправления в технологическом присоединении к электрическим сетям и их влияние на сокращение данных процедур» 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(предполагаемый </w:t>
            </w:r>
            <w:r>
              <w:rPr>
                <w:rFonts w:ascii="Arial" w:hAnsi="Arial" w:cs="Arial"/>
                <w:b/>
                <w:sz w:val="21"/>
                <w:szCs w:val="21"/>
              </w:rPr>
              <w:t>модератор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Бутаков И.В., </w:t>
            </w:r>
            <w:r>
              <w:rPr>
                <w:rFonts w:ascii="Arial" w:hAnsi="Arial" w:cs="Arial"/>
                <w:sz w:val="21"/>
                <w:szCs w:val="21"/>
              </w:rPr>
              <w:t>член ЧОО «ОПОРА РОССИИ»)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(Зал № 2, малый зал совещаний Правительства ЧО, 3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.)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Участники: </w:t>
            </w:r>
            <w:r>
              <w:rPr>
                <w:rFonts w:ascii="Arial" w:hAnsi="Arial" w:cs="Arial"/>
                <w:sz w:val="21"/>
                <w:szCs w:val="21"/>
              </w:rPr>
              <w:t>Представители Министерства тарифного регулирования, Министерства имущества и природных ресурсов ЧО, АИР г. Челябинска, АИР ЧО, АСИ, Представители других регионов с лучшими практиками, Сетевые компании, органы местного самоуправления, курирующие вопросы ЖКХ, бизнес-сообщества.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</w:tc>
      </w:tr>
      <w:tr w:rsidR="000D2481" w:rsidTr="000D24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14.30-15.00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Итоги обсуждений на тематических секциях, 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предложения в резолюцию Форума, закрытие Форума</w:t>
            </w:r>
          </w:p>
          <w:p w:rsidR="000D2481" w:rsidRDefault="000D248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21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(зал №1, большой зал заседаний Правительства, 4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эт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.)</w:t>
            </w:r>
          </w:p>
        </w:tc>
      </w:tr>
    </w:tbl>
    <w:p w:rsidR="008B6518" w:rsidRDefault="008B6518">
      <w:bookmarkStart w:id="0" w:name="_GoBack"/>
      <w:bookmarkEnd w:id="0"/>
    </w:p>
    <w:sectPr w:rsidR="008B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F6666"/>
    <w:multiLevelType w:val="hybridMultilevel"/>
    <w:tmpl w:val="8A5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53028"/>
    <w:multiLevelType w:val="hybridMultilevel"/>
    <w:tmpl w:val="528E6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71108"/>
    <w:multiLevelType w:val="hybridMultilevel"/>
    <w:tmpl w:val="244E1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9"/>
    <w:rsid w:val="000D2481"/>
    <w:rsid w:val="008B6518"/>
    <w:rsid w:val="00A0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5337-42CC-4A1A-96F6-3F08EF3B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Дегтярева</dc:creator>
  <cp:keywords/>
  <dc:description/>
  <cp:lastModifiedBy>Екатерина Дегтярева</cp:lastModifiedBy>
  <cp:revision>3</cp:revision>
  <dcterms:created xsi:type="dcterms:W3CDTF">2017-05-11T07:11:00Z</dcterms:created>
  <dcterms:modified xsi:type="dcterms:W3CDTF">2017-05-11T07:12:00Z</dcterms:modified>
</cp:coreProperties>
</file>